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Практические аспекты эффективного использование оборудования "Точка роста".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Учитель биологии и химии МБОУ Отрадненская СОШ Москович Инна Станиславовна.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национального проекта «Образование» стало возможным оснащение школ современным оборудованием центра «Точка роста». Оснащение общеобразовательных школ современным  цифровым оборудованием является материальной базой реализации Федерального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образовательного стандарта. Это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школы, без которой сложно представить не только профильное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современный образовательный процесс в целом. Использование учебного оборудования становится средством обеспечения этого взаимодействия, тем более в условиях обучения предмету на углублённом уровне, предполагаемом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э</w:t>
      </w:r>
      <w:r>
        <w:rPr>
          <w:rFonts w:ascii="Times New Roman" w:eastAsia="Times New Roman" w:hAnsi="Times New Roman" w:cs="Times New Roman"/>
          <w:sz w:val="28"/>
          <w:szCs w:val="28"/>
        </w:rPr>
        <w:t>того оборудования позволяет качественно изменить процесс обучения биологии и химии. Появляется возможность количественных наблюдений и опытов для получения достоверной информации о биологических, химических процессах и объектах. На основе полученных экспер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иментальных данных обучаемые могут самостоятельно делать выводы, обобщать результаты, выявлять закономерности, что  способствует повышению мотивации обучения школьников. 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учащиеся приобретают опыт познания реальности, 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орые составляют основу научного мировоззрения. В то же время отрабатывается методика постановки эксперимента.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средства обучения, в рамках проекта «Точка роста», содержат как уже хорошо известное оборудование, так и принципиально новое. Это циф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ровые лаборатории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датчиковые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системы. В основу образовательной программы заложено применение цифровых лабораторий по биологии и химии.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Цифровые лаборатории с наборами датчиков, позволяют проводить измерения физических, химических, физиологических параме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тров окружающей среды и организмов, химических реакций. Концепция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 биологии и химии уже трудно представить без использования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аналоговых, но и цифровых измерительных приборов. Учебный эксперимент по биологии и химии, проводимый на традиционном оборудовании, без применения цифровых лабораторий, не может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озволить в полной мере решить все задачи в современной школе.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позволяют учащимся знакомиться с параметр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биологического и химического эксперимента не только на качественном, но и на количественном уровне.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формирования экспериментальных умений ученик обучается представлять информацию об исследовании в четырёх видах: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вербальном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описывать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эксперимент, создавать словесную модель эксперимента, фиксировать внимание на измеряемых величинах, терминологии;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бах величин);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и многомерность);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математических уравнений: давать математическое описание взаимосвязи величин, математическое обобщение.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исследовательских умений учащихся, которые выражаются в следующих действиях: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определение проблемы;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постановка исследовательской задачи;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планирование решения задачи;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построение моделей;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выдвижение гипотез;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экспериментальная проверка гипотез;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анализ данных экспериментов или наблюдений; </w:t>
      </w:r>
    </w:p>
    <w:p w:rsidR="00DD2DD8" w:rsidRDefault="00D5312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формулирование выводов. </w:t>
      </w:r>
    </w:p>
    <w:sectPr w:rsidR="00DD2DD8" w:rsidSect="00DD2D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2DD8"/>
    <w:rsid w:val="00D5312F"/>
    <w:rsid w:val="00D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D2D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2D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2D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2D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2D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D2D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2DD8"/>
  </w:style>
  <w:style w:type="table" w:customStyle="1" w:styleId="TableNormal">
    <w:name w:val="Table Normal"/>
    <w:rsid w:val="00DD2D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2D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2D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2023-02-27T22:23:00Z</dcterms:created>
  <dcterms:modified xsi:type="dcterms:W3CDTF">2023-02-27T22:23:00Z</dcterms:modified>
</cp:coreProperties>
</file>